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254"/>
      </w:tblGrid>
      <w:tr w:rsidR="00BF38D2" w14:paraId="31660AA1" w14:textId="77777777" w:rsidTr="00BF38D2">
        <w:tc>
          <w:tcPr>
            <w:tcW w:w="2694" w:type="dxa"/>
          </w:tcPr>
          <w:p w14:paraId="6F85E589" w14:textId="1DF62B05" w:rsidR="00BF38D2" w:rsidRDefault="00BF38D2" w:rsidP="006C3A04">
            <w:pPr>
              <w:rPr>
                <w:rFonts w:ascii="Arial" w:hAnsi="Arial" w:cs="Arial"/>
                <w:b/>
                <w:sz w:val="36"/>
                <w:szCs w:val="36"/>
              </w:rPr>
            </w:pPr>
            <w:r>
              <w:rPr>
                <w:noProof/>
                <w:lang w:eastAsia="en-GB"/>
              </w:rPr>
              <w:drawing>
                <wp:inline distT="0" distB="0" distL="0" distR="0" wp14:anchorId="5C235DCF" wp14:editId="53D2C602">
                  <wp:extent cx="1314450" cy="7774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124" cy="780805"/>
                          </a:xfrm>
                          <a:prstGeom prst="rect">
                            <a:avLst/>
                          </a:prstGeom>
                          <a:noFill/>
                          <a:ln>
                            <a:noFill/>
                          </a:ln>
                        </pic:spPr>
                      </pic:pic>
                    </a:graphicData>
                  </a:graphic>
                </wp:inline>
              </w:drawing>
            </w:r>
          </w:p>
        </w:tc>
        <w:tc>
          <w:tcPr>
            <w:tcW w:w="11254" w:type="dxa"/>
          </w:tcPr>
          <w:p w14:paraId="59E8AC55" w14:textId="77777777" w:rsidR="00581C4C" w:rsidRDefault="00581C4C" w:rsidP="006C3A04">
            <w:pPr>
              <w:rPr>
                <w:rFonts w:ascii="Arial" w:hAnsi="Arial" w:cs="Arial"/>
                <w:b/>
                <w:sz w:val="36"/>
                <w:szCs w:val="36"/>
              </w:rPr>
            </w:pPr>
            <w:r>
              <w:rPr>
                <w:rFonts w:ascii="Arial" w:hAnsi="Arial" w:cs="Arial"/>
                <w:b/>
                <w:sz w:val="36"/>
                <w:szCs w:val="36"/>
              </w:rPr>
              <w:t>Appendix A</w:t>
            </w:r>
          </w:p>
          <w:p w14:paraId="56EA2913" w14:textId="77777777" w:rsidR="00BF38D2" w:rsidRDefault="007230C8" w:rsidP="006C3A04">
            <w:pPr>
              <w:rPr>
                <w:rFonts w:ascii="Arial" w:hAnsi="Arial" w:cs="Arial"/>
                <w:b/>
                <w:sz w:val="36"/>
                <w:szCs w:val="36"/>
              </w:rPr>
            </w:pPr>
            <w:r>
              <w:rPr>
                <w:rFonts w:ascii="Arial" w:hAnsi="Arial" w:cs="Arial"/>
                <w:b/>
                <w:sz w:val="36"/>
                <w:szCs w:val="36"/>
              </w:rPr>
              <w:t xml:space="preserve">Interim </w:t>
            </w:r>
            <w:r w:rsidR="00BF38D2" w:rsidRPr="006C3A04">
              <w:rPr>
                <w:rFonts w:ascii="Arial" w:hAnsi="Arial" w:cs="Arial"/>
                <w:b/>
                <w:sz w:val="36"/>
                <w:szCs w:val="36"/>
              </w:rPr>
              <w:t>Gender p</w:t>
            </w:r>
            <w:r w:rsidR="00BF38D2">
              <w:rPr>
                <w:rFonts w:ascii="Arial" w:hAnsi="Arial" w:cs="Arial"/>
                <w:b/>
                <w:sz w:val="36"/>
                <w:szCs w:val="36"/>
              </w:rPr>
              <w:t>ay gap report - Local Government Association</w:t>
            </w:r>
          </w:p>
          <w:p w14:paraId="7EC39CDF" w14:textId="288BAB33" w:rsidR="007230C8" w:rsidRDefault="007230C8" w:rsidP="006C3A04">
            <w:pPr>
              <w:rPr>
                <w:rFonts w:ascii="Arial" w:hAnsi="Arial" w:cs="Arial"/>
                <w:b/>
                <w:sz w:val="36"/>
                <w:szCs w:val="36"/>
              </w:rPr>
            </w:pPr>
          </w:p>
        </w:tc>
      </w:tr>
    </w:tbl>
    <w:p w14:paraId="438E135C" w14:textId="4E282753" w:rsidR="00BF38D2" w:rsidRPr="00BF38D2" w:rsidRDefault="006C3A04" w:rsidP="00BF38D2">
      <w:pPr>
        <w:rPr>
          <w:rFonts w:ascii="Arial" w:hAnsi="Arial" w:cs="Arial"/>
          <w:b/>
          <w:sz w:val="20"/>
          <w:szCs w:val="20"/>
        </w:rPr>
      </w:pPr>
      <w:r w:rsidRPr="00BF38D2">
        <w:rPr>
          <w:rFonts w:ascii="Arial" w:hAnsi="Arial" w:cs="Arial"/>
          <w:b/>
          <w:sz w:val="20"/>
          <w:szCs w:val="20"/>
        </w:rPr>
        <w:tab/>
      </w:r>
    </w:p>
    <w:p w14:paraId="35C6EE67" w14:textId="3C8984DE" w:rsidR="003E2FE9" w:rsidRPr="00BF38D2" w:rsidRDefault="003E2FE9" w:rsidP="00BF38D2">
      <w:pPr>
        <w:rPr>
          <w:rFonts w:ascii="Arial" w:hAnsi="Arial" w:cs="Arial"/>
          <w:b/>
          <w:sz w:val="36"/>
          <w:szCs w:val="36"/>
        </w:rPr>
      </w:pPr>
      <w:r>
        <w:rPr>
          <w:rFonts w:ascii="Arial" w:hAnsi="Arial" w:cs="Arial"/>
        </w:rPr>
        <w:t>Employers in Great Britain with more than 250 staff are required by law to publish information showing</w:t>
      </w:r>
      <w:r w:rsidRPr="003E2FE9">
        <w:rPr>
          <w:rFonts w:ascii="Arial" w:hAnsi="Arial" w:cs="Arial"/>
          <w:lang w:val="en"/>
        </w:rPr>
        <w:t xml:space="preserve"> the difference between what women earn as a group compared to what men earn as a group</w:t>
      </w:r>
      <w:bookmarkStart w:id="0" w:name="_GoBack"/>
      <w:bookmarkEnd w:id="0"/>
      <w:r w:rsidRPr="003E2FE9">
        <w:rPr>
          <w:rFonts w:ascii="Arial" w:hAnsi="Arial" w:cs="Arial"/>
          <w:lang w:val="en"/>
        </w:rPr>
        <w:t xml:space="preserve"> in a workplace. Th</w:t>
      </w:r>
      <w:r>
        <w:rPr>
          <w:rFonts w:ascii="Arial" w:hAnsi="Arial" w:cs="Arial"/>
          <w:lang w:val="en"/>
        </w:rPr>
        <w:t>is is known as th</w:t>
      </w:r>
      <w:r w:rsidRPr="003E2FE9">
        <w:rPr>
          <w:rFonts w:ascii="Arial" w:hAnsi="Arial" w:cs="Arial"/>
          <w:lang w:val="en"/>
        </w:rPr>
        <w:t xml:space="preserve">e </w:t>
      </w:r>
      <w:r w:rsidRPr="003E2FE9">
        <w:rPr>
          <w:rFonts w:ascii="Arial" w:hAnsi="Arial" w:cs="Arial"/>
          <w:b/>
          <w:bCs/>
          <w:lang w:val="en"/>
        </w:rPr>
        <w:t>gender pay gap</w:t>
      </w:r>
      <w:r>
        <w:rPr>
          <w:rFonts w:ascii="Arial" w:hAnsi="Arial" w:cs="Arial"/>
          <w:lang w:val="en"/>
        </w:rPr>
        <w:t>.</w:t>
      </w:r>
    </w:p>
    <w:p w14:paraId="2BB4ADA7" w14:textId="05AFEC30" w:rsidR="003E2FE9" w:rsidRDefault="00C37253" w:rsidP="00C37253">
      <w:pPr>
        <w:spacing w:line="264" w:lineRule="auto"/>
        <w:rPr>
          <w:rFonts w:ascii="Arial" w:hAnsi="Arial" w:cs="Arial"/>
        </w:rPr>
      </w:pPr>
      <w:r>
        <w:rPr>
          <w:rFonts w:ascii="Arial" w:hAnsi="Arial" w:cs="Arial"/>
        </w:rPr>
        <w:t>Legally the LGA is not required to publish gender pay gap information. This is because it is divided into two separate employers – the LGA and the IDeA</w:t>
      </w:r>
      <w:r w:rsidR="00747264">
        <w:rPr>
          <w:rFonts w:ascii="Arial" w:hAnsi="Arial" w:cs="Arial"/>
        </w:rPr>
        <w:t xml:space="preserve"> -</w:t>
      </w:r>
      <w:r>
        <w:rPr>
          <w:rFonts w:ascii="Arial" w:hAnsi="Arial" w:cs="Arial"/>
        </w:rPr>
        <w:t xml:space="preserve"> neither of which employs more than 250 staff</w:t>
      </w:r>
      <w:r w:rsidR="003E2FE9" w:rsidRPr="003E2FE9">
        <w:rPr>
          <w:rFonts w:ascii="Arial" w:hAnsi="Arial" w:cs="Arial"/>
        </w:rPr>
        <w:t>. However the LGA is committed to operating within the spirit of the legislation go</w:t>
      </w:r>
      <w:r>
        <w:rPr>
          <w:rFonts w:ascii="Arial" w:hAnsi="Arial" w:cs="Arial"/>
        </w:rPr>
        <w:t xml:space="preserve">verning its member councils and </w:t>
      </w:r>
      <w:r w:rsidR="003E2FE9" w:rsidRPr="003E2FE9">
        <w:rPr>
          <w:rFonts w:ascii="Arial" w:hAnsi="Arial" w:cs="Arial"/>
        </w:rPr>
        <w:t>therefore publish</w:t>
      </w:r>
      <w:r>
        <w:rPr>
          <w:rFonts w:ascii="Arial" w:hAnsi="Arial" w:cs="Arial"/>
        </w:rPr>
        <w:t>es</w:t>
      </w:r>
      <w:r w:rsidR="003E2FE9" w:rsidRPr="003E2FE9">
        <w:rPr>
          <w:rFonts w:ascii="Arial" w:hAnsi="Arial" w:cs="Arial"/>
        </w:rPr>
        <w:t xml:space="preserve"> its gender pay gap information.</w:t>
      </w:r>
    </w:p>
    <w:p w14:paraId="4D76970A" w14:textId="2C9DEEFA" w:rsidR="00C37253" w:rsidRPr="000E5718" w:rsidRDefault="008C6F83" w:rsidP="00C37253">
      <w:pPr>
        <w:spacing w:line="264" w:lineRule="auto"/>
        <w:rPr>
          <w:rFonts w:ascii="Arial" w:hAnsi="Arial" w:cs="Arial"/>
          <w:b/>
        </w:rPr>
      </w:pPr>
      <w:r w:rsidRPr="000E5718">
        <w:rPr>
          <w:rFonts w:ascii="Arial" w:hAnsi="Arial" w:cs="Arial"/>
          <w:b/>
        </w:rPr>
        <w:t>In March 2017, t</w:t>
      </w:r>
      <w:r w:rsidR="00C37253" w:rsidRPr="000E5718">
        <w:rPr>
          <w:rFonts w:ascii="Arial" w:hAnsi="Arial" w:cs="Arial"/>
          <w:b/>
        </w:rPr>
        <w:t>he LGA and IDeA together employ</w:t>
      </w:r>
      <w:r w:rsidR="000E5718">
        <w:rPr>
          <w:rFonts w:ascii="Arial" w:hAnsi="Arial" w:cs="Arial"/>
          <w:b/>
        </w:rPr>
        <w:t>ed</w:t>
      </w:r>
      <w:r w:rsidR="00C37253" w:rsidRPr="000E5718">
        <w:rPr>
          <w:rFonts w:ascii="Arial" w:hAnsi="Arial" w:cs="Arial"/>
          <w:b/>
        </w:rPr>
        <w:t xml:space="preserve"> 319 staff. Of these, 57% </w:t>
      </w:r>
      <w:r w:rsidR="000E5718">
        <w:rPr>
          <w:rFonts w:ascii="Arial" w:hAnsi="Arial" w:cs="Arial"/>
          <w:b/>
        </w:rPr>
        <w:t>were</w:t>
      </w:r>
      <w:r w:rsidR="00C37253" w:rsidRPr="000E5718">
        <w:rPr>
          <w:rFonts w:ascii="Arial" w:hAnsi="Arial" w:cs="Arial"/>
          <w:b/>
        </w:rPr>
        <w:t xml:space="preserve"> female and 43% </w:t>
      </w:r>
      <w:r w:rsidR="000E5718">
        <w:rPr>
          <w:rFonts w:ascii="Arial" w:hAnsi="Arial" w:cs="Arial"/>
          <w:b/>
        </w:rPr>
        <w:t>were</w:t>
      </w:r>
      <w:r w:rsidR="00C37253" w:rsidRPr="000E5718">
        <w:rPr>
          <w:rFonts w:ascii="Arial" w:hAnsi="Arial" w:cs="Arial"/>
          <w:b/>
        </w:rPr>
        <w:t xml:space="preserve"> male.</w:t>
      </w:r>
    </w:p>
    <w:p w14:paraId="55BA4B8B" w14:textId="0D7F310D" w:rsidR="000E5718" w:rsidRPr="000E5718" w:rsidRDefault="000E5718" w:rsidP="000E5718">
      <w:pPr>
        <w:spacing w:line="264" w:lineRule="auto"/>
        <w:rPr>
          <w:rFonts w:ascii="Arial" w:hAnsi="Arial" w:cs="Arial"/>
          <w:color w:val="0070C0"/>
        </w:rPr>
      </w:pPr>
      <w:r w:rsidRPr="000E5718">
        <w:rPr>
          <w:rFonts w:ascii="Arial" w:hAnsi="Arial" w:cs="Arial"/>
          <w:b/>
          <w:color w:val="0070C0"/>
        </w:rPr>
        <w:t>In March 2018</w:t>
      </w:r>
      <w:r w:rsidRPr="000E5718">
        <w:rPr>
          <w:rFonts w:ascii="Arial" w:hAnsi="Arial" w:cs="Arial"/>
          <w:color w:val="0070C0"/>
        </w:rPr>
        <w:t xml:space="preserve">, </w:t>
      </w:r>
      <w:r w:rsidRPr="000E5718">
        <w:rPr>
          <w:rFonts w:ascii="Arial" w:hAnsi="Arial" w:cs="Arial"/>
          <w:b/>
          <w:color w:val="0070C0"/>
        </w:rPr>
        <w:t>the LGA and IDeA together employ</w:t>
      </w:r>
      <w:r>
        <w:rPr>
          <w:rFonts w:ascii="Arial" w:hAnsi="Arial" w:cs="Arial"/>
          <w:b/>
          <w:color w:val="0070C0"/>
        </w:rPr>
        <w:t>ed</w:t>
      </w:r>
      <w:r w:rsidRPr="000E5718">
        <w:rPr>
          <w:rFonts w:ascii="Arial" w:hAnsi="Arial" w:cs="Arial"/>
          <w:color w:val="0070C0"/>
        </w:rPr>
        <w:t xml:space="preserve"> </w:t>
      </w:r>
      <w:r>
        <w:rPr>
          <w:rFonts w:ascii="Arial" w:hAnsi="Arial" w:cs="Arial"/>
          <w:b/>
          <w:color w:val="0070C0"/>
        </w:rPr>
        <w:t>332</w:t>
      </w:r>
      <w:r w:rsidRPr="000E5718">
        <w:rPr>
          <w:rFonts w:ascii="Arial" w:hAnsi="Arial" w:cs="Arial"/>
          <w:color w:val="0070C0"/>
        </w:rPr>
        <w:t xml:space="preserve"> staff. Of these, </w:t>
      </w:r>
      <w:r w:rsidRPr="000E5718">
        <w:rPr>
          <w:rFonts w:ascii="Arial" w:hAnsi="Arial" w:cs="Arial"/>
          <w:b/>
          <w:color w:val="0070C0"/>
        </w:rPr>
        <w:t>58%</w:t>
      </w:r>
      <w:r w:rsidRPr="000E5718">
        <w:rPr>
          <w:rFonts w:ascii="Arial" w:hAnsi="Arial" w:cs="Arial"/>
          <w:color w:val="0070C0"/>
        </w:rPr>
        <w:t xml:space="preserve"> </w:t>
      </w:r>
      <w:r>
        <w:rPr>
          <w:rFonts w:ascii="Arial" w:hAnsi="Arial" w:cs="Arial"/>
          <w:color w:val="0070C0"/>
        </w:rPr>
        <w:t>were</w:t>
      </w:r>
      <w:r w:rsidRPr="000E5718">
        <w:rPr>
          <w:rFonts w:ascii="Arial" w:hAnsi="Arial" w:cs="Arial"/>
          <w:color w:val="0070C0"/>
        </w:rPr>
        <w:t xml:space="preserve"> female and </w:t>
      </w:r>
      <w:r w:rsidRPr="000E5718">
        <w:rPr>
          <w:rFonts w:ascii="Arial" w:hAnsi="Arial" w:cs="Arial"/>
          <w:b/>
          <w:color w:val="0070C0"/>
        </w:rPr>
        <w:t>42%</w:t>
      </w:r>
      <w:r w:rsidRPr="000E5718">
        <w:rPr>
          <w:rFonts w:ascii="Arial" w:hAnsi="Arial" w:cs="Arial"/>
          <w:color w:val="0070C0"/>
        </w:rPr>
        <w:t xml:space="preserve"> </w:t>
      </w:r>
      <w:r>
        <w:rPr>
          <w:rFonts w:ascii="Arial" w:hAnsi="Arial" w:cs="Arial"/>
          <w:color w:val="0070C0"/>
        </w:rPr>
        <w:t>were</w:t>
      </w:r>
      <w:r w:rsidRPr="000E5718">
        <w:rPr>
          <w:rFonts w:ascii="Arial" w:hAnsi="Arial" w:cs="Arial"/>
          <w:color w:val="0070C0"/>
        </w:rPr>
        <w:t xml:space="preserve"> male</w:t>
      </w:r>
    </w:p>
    <w:p w14:paraId="4086B431" w14:textId="78073E8C" w:rsidR="007230C8" w:rsidRPr="007230C8" w:rsidRDefault="008C6F83" w:rsidP="00C37253">
      <w:pPr>
        <w:spacing w:line="264" w:lineRule="auto"/>
        <w:rPr>
          <w:rFonts w:ascii="Arial" w:hAnsi="Arial" w:cs="Arial"/>
          <w:color w:val="FF0000"/>
        </w:rPr>
      </w:pPr>
      <w:r>
        <w:rPr>
          <w:rFonts w:ascii="Arial" w:hAnsi="Arial" w:cs="Arial"/>
          <w:b/>
          <w:color w:val="FF0000"/>
        </w:rPr>
        <w:t xml:space="preserve">In </w:t>
      </w:r>
      <w:r w:rsidR="00133151" w:rsidRPr="00133151">
        <w:rPr>
          <w:rFonts w:ascii="Arial" w:hAnsi="Arial" w:cs="Arial"/>
          <w:b/>
          <w:color w:val="FF0000"/>
        </w:rPr>
        <w:t>September 2018</w:t>
      </w:r>
      <w:r>
        <w:rPr>
          <w:rFonts w:ascii="Arial" w:hAnsi="Arial" w:cs="Arial"/>
          <w:color w:val="FF0000"/>
        </w:rPr>
        <w:t xml:space="preserve">, </w:t>
      </w:r>
      <w:r w:rsidRPr="008C6F83">
        <w:rPr>
          <w:rFonts w:ascii="Arial" w:hAnsi="Arial" w:cs="Arial"/>
          <w:b/>
          <w:color w:val="FF0000"/>
        </w:rPr>
        <w:t>the LGA and IDeA together employ</w:t>
      </w:r>
      <w:r w:rsidR="000E5718">
        <w:rPr>
          <w:rFonts w:ascii="Arial" w:hAnsi="Arial" w:cs="Arial"/>
          <w:b/>
          <w:color w:val="FF0000"/>
        </w:rPr>
        <w:t>ed</w:t>
      </w:r>
      <w:r w:rsidRPr="008C6F83">
        <w:rPr>
          <w:rFonts w:ascii="Arial" w:hAnsi="Arial" w:cs="Arial"/>
          <w:color w:val="FF0000"/>
        </w:rPr>
        <w:t xml:space="preserve"> </w:t>
      </w:r>
      <w:r w:rsidR="007230C8" w:rsidRPr="007230C8">
        <w:rPr>
          <w:rFonts w:ascii="Arial" w:hAnsi="Arial" w:cs="Arial"/>
          <w:b/>
          <w:color w:val="FF0000"/>
        </w:rPr>
        <w:t>369</w:t>
      </w:r>
      <w:r w:rsidR="007230C8" w:rsidRPr="007230C8">
        <w:rPr>
          <w:rFonts w:ascii="Arial" w:hAnsi="Arial" w:cs="Arial"/>
          <w:color w:val="FF0000"/>
        </w:rPr>
        <w:t xml:space="preserve"> staff. Of these, </w:t>
      </w:r>
      <w:r w:rsidR="007230C8" w:rsidRPr="007230C8">
        <w:rPr>
          <w:rFonts w:ascii="Arial" w:hAnsi="Arial" w:cs="Arial"/>
          <w:b/>
          <w:color w:val="FF0000"/>
        </w:rPr>
        <w:t>58%</w:t>
      </w:r>
      <w:r w:rsidR="000E5718">
        <w:rPr>
          <w:rFonts w:ascii="Arial" w:hAnsi="Arial" w:cs="Arial"/>
          <w:color w:val="FF0000"/>
        </w:rPr>
        <w:t xml:space="preserve"> were</w:t>
      </w:r>
      <w:r w:rsidR="007230C8">
        <w:rPr>
          <w:rFonts w:ascii="Arial" w:hAnsi="Arial" w:cs="Arial"/>
          <w:color w:val="FF0000"/>
        </w:rPr>
        <w:t xml:space="preserve"> female and </w:t>
      </w:r>
      <w:r w:rsidR="007230C8" w:rsidRPr="007230C8">
        <w:rPr>
          <w:rFonts w:ascii="Arial" w:hAnsi="Arial" w:cs="Arial"/>
          <w:b/>
          <w:color w:val="FF0000"/>
        </w:rPr>
        <w:t>42%</w:t>
      </w:r>
      <w:r w:rsidR="007230C8">
        <w:rPr>
          <w:rFonts w:ascii="Arial" w:hAnsi="Arial" w:cs="Arial"/>
          <w:color w:val="FF0000"/>
        </w:rPr>
        <w:t xml:space="preserve"> </w:t>
      </w:r>
      <w:r w:rsidR="000E5718">
        <w:rPr>
          <w:rFonts w:ascii="Arial" w:hAnsi="Arial" w:cs="Arial"/>
          <w:color w:val="FF0000"/>
        </w:rPr>
        <w:t xml:space="preserve">were </w:t>
      </w:r>
      <w:r w:rsidR="007230C8">
        <w:rPr>
          <w:rFonts w:ascii="Arial" w:hAnsi="Arial" w:cs="Arial"/>
          <w:color w:val="FF0000"/>
        </w:rPr>
        <w:t>male</w:t>
      </w:r>
    </w:p>
    <w:p w14:paraId="598D3D63" w14:textId="77777777" w:rsidR="00C37253" w:rsidRPr="003E2FE9" w:rsidRDefault="00C37253" w:rsidP="00C37253">
      <w:pPr>
        <w:spacing w:line="264" w:lineRule="auto"/>
        <w:rPr>
          <w:rFonts w:ascii="Arial" w:hAnsi="Arial" w:cs="Arial"/>
        </w:rPr>
      </w:pPr>
      <w:r>
        <w:rPr>
          <w:rFonts w:ascii="Arial" w:hAnsi="Arial" w:cs="Arial"/>
        </w:rPr>
        <w:t>The LGA has in place a formal job evaluation process which it uses to set the grade of jobs across the organisation to ensure that we pay the salary that reflects the value of the role.</w:t>
      </w:r>
    </w:p>
    <w:p w14:paraId="2B724DDE" w14:textId="77777777" w:rsidR="006C3A04" w:rsidRDefault="006C3A04" w:rsidP="006C3A04">
      <w:pPr>
        <w:rPr>
          <w:rFonts w:ascii="Arial" w:hAnsi="Arial" w:cs="Arial"/>
          <w:b/>
          <w:sz w:val="28"/>
          <w:szCs w:val="28"/>
        </w:rPr>
      </w:pPr>
      <w:r w:rsidRPr="006C3A04">
        <w:rPr>
          <w:rFonts w:ascii="Arial" w:hAnsi="Arial" w:cs="Arial"/>
          <w:b/>
          <w:sz w:val="28"/>
          <w:szCs w:val="28"/>
        </w:rPr>
        <w:t>Difference in hourly rate</w:t>
      </w:r>
      <w:r w:rsidRPr="006C3A04">
        <w:rPr>
          <w:rFonts w:ascii="Arial" w:hAnsi="Arial" w:cs="Arial"/>
          <w:b/>
          <w:sz w:val="28"/>
          <w:szCs w:val="28"/>
        </w:rPr>
        <w:tab/>
      </w:r>
      <w:r w:rsidRPr="006C3A04">
        <w:rPr>
          <w:rFonts w:ascii="Arial" w:hAnsi="Arial" w:cs="Arial"/>
          <w:b/>
          <w:sz w:val="28"/>
          <w:szCs w:val="28"/>
        </w:rPr>
        <w:tab/>
      </w:r>
      <w:r w:rsidRPr="006C3A04">
        <w:rPr>
          <w:rFonts w:ascii="Arial" w:hAnsi="Arial" w:cs="Arial"/>
          <w:b/>
          <w:sz w:val="28"/>
          <w:szCs w:val="28"/>
        </w:rPr>
        <w:tab/>
      </w:r>
      <w:r w:rsidRPr="006C3A04">
        <w:rPr>
          <w:rFonts w:ascii="Arial" w:hAnsi="Arial" w:cs="Arial"/>
          <w:b/>
          <w:sz w:val="28"/>
          <w:szCs w:val="28"/>
        </w:rPr>
        <w:tab/>
      </w:r>
      <w:r w:rsidRPr="006C3A04">
        <w:rPr>
          <w:rFonts w:ascii="Arial" w:hAnsi="Arial" w:cs="Arial"/>
          <w:b/>
          <w:sz w:val="28"/>
          <w:szCs w:val="28"/>
        </w:rPr>
        <w:tab/>
      </w:r>
      <w:r w:rsidRPr="006C3A04">
        <w:rPr>
          <w:rFonts w:ascii="Arial" w:hAnsi="Arial" w:cs="Arial"/>
          <w:b/>
          <w:sz w:val="28"/>
          <w:szCs w:val="28"/>
        </w:rPr>
        <w:tab/>
      </w:r>
      <w:r w:rsidRPr="006C3A04">
        <w:rPr>
          <w:rFonts w:ascii="Arial" w:hAnsi="Arial" w:cs="Arial"/>
          <w:b/>
          <w:sz w:val="28"/>
          <w:szCs w:val="28"/>
        </w:rPr>
        <w:tab/>
      </w:r>
      <w:r w:rsidRPr="006C3A04">
        <w:rPr>
          <w:rFonts w:ascii="Arial" w:hAnsi="Arial" w:cs="Arial"/>
          <w:b/>
          <w:sz w:val="28"/>
          <w:szCs w:val="28"/>
        </w:rPr>
        <w:tab/>
      </w:r>
    </w:p>
    <w:p w14:paraId="451CF165" w14:textId="5DE902BA" w:rsidR="006C3A04" w:rsidRPr="00CF7513" w:rsidRDefault="006C3A04" w:rsidP="00C37253">
      <w:pPr>
        <w:spacing w:line="264" w:lineRule="auto"/>
        <w:rPr>
          <w:rFonts w:ascii="Arial" w:hAnsi="Arial" w:cs="Arial"/>
        </w:rPr>
      </w:pPr>
      <w:r w:rsidRPr="006C3A04">
        <w:rPr>
          <w:rFonts w:ascii="Arial" w:hAnsi="Arial" w:cs="Arial"/>
        </w:rPr>
        <w:t>The mean hourly rate is the average hourl</w:t>
      </w:r>
      <w:r w:rsidR="00C6361E">
        <w:rPr>
          <w:rFonts w:ascii="Arial" w:hAnsi="Arial" w:cs="Arial"/>
        </w:rPr>
        <w:t>y wage across the entire organis</w:t>
      </w:r>
      <w:r w:rsidRPr="006C3A04">
        <w:rPr>
          <w:rFonts w:ascii="Arial" w:hAnsi="Arial" w:cs="Arial"/>
        </w:rPr>
        <w:t>ation</w:t>
      </w:r>
      <w:r w:rsidR="00747264">
        <w:rPr>
          <w:rFonts w:ascii="Arial" w:hAnsi="Arial" w:cs="Arial"/>
        </w:rPr>
        <w:t xml:space="preserve"> -</w:t>
      </w:r>
      <w:r w:rsidRPr="006C3A04">
        <w:rPr>
          <w:rFonts w:ascii="Arial" w:hAnsi="Arial" w:cs="Arial"/>
        </w:rPr>
        <w:t xml:space="preserve"> so the mean gender pay gap is a measure of the difference between women’s mean hourly wage and men’s mean hourly wage.</w:t>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p>
    <w:p w14:paraId="02657EE5" w14:textId="6492BBA5" w:rsidR="006C3A04" w:rsidRPr="006C3A04" w:rsidRDefault="006C3A04" w:rsidP="00C37253">
      <w:pPr>
        <w:spacing w:line="264" w:lineRule="auto"/>
        <w:rPr>
          <w:rFonts w:ascii="Arial" w:hAnsi="Arial" w:cs="Arial"/>
          <w:b/>
          <w:sz w:val="28"/>
          <w:szCs w:val="28"/>
        </w:rPr>
      </w:pPr>
      <w:r w:rsidRPr="006C3A04">
        <w:rPr>
          <w:rFonts w:ascii="Arial" w:hAnsi="Arial" w:cs="Arial"/>
        </w:rPr>
        <w:t>The median hourly rate is calculated by ranking all employees from the highest paid to the lowest paid, and taking the hourly w</w:t>
      </w:r>
      <w:r w:rsidR="00747264">
        <w:rPr>
          <w:rFonts w:ascii="Arial" w:hAnsi="Arial" w:cs="Arial"/>
        </w:rPr>
        <w:t>age of the person in the middle -</w:t>
      </w:r>
      <w:r w:rsidRPr="006C3A04">
        <w:rPr>
          <w:rFonts w:ascii="Arial" w:hAnsi="Arial" w:cs="Arial"/>
        </w:rPr>
        <w:t xml:space="preserve"> so the median gender pay gap is the difference between women’s median hourly wage (the middle paid woman) and men’s median hourly wage (the middle paid man).</w:t>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p>
    <w:p w14:paraId="17D74703" w14:textId="50592CC4" w:rsidR="000E5718" w:rsidRDefault="000E5718" w:rsidP="00C37253">
      <w:pPr>
        <w:spacing w:line="264" w:lineRule="auto"/>
        <w:rPr>
          <w:rFonts w:ascii="Arial" w:hAnsi="Arial" w:cs="Arial"/>
          <w:b/>
        </w:rPr>
      </w:pPr>
      <w:r>
        <w:rPr>
          <w:rFonts w:ascii="Arial" w:hAnsi="Arial" w:cs="Arial"/>
          <w:b/>
        </w:rPr>
        <w:t xml:space="preserve">March 2017: </w:t>
      </w:r>
      <w:r w:rsidR="006C3A04" w:rsidRPr="006C3A04">
        <w:rPr>
          <w:rFonts w:ascii="Arial" w:hAnsi="Arial" w:cs="Arial"/>
          <w:b/>
        </w:rPr>
        <w:t>Women’s mean hourly rate is 1</w:t>
      </w:r>
      <w:r w:rsidR="006C3A04">
        <w:rPr>
          <w:rFonts w:ascii="Arial" w:hAnsi="Arial" w:cs="Arial"/>
          <w:b/>
        </w:rPr>
        <w:t>3.</w:t>
      </w:r>
      <w:r w:rsidR="00C6361E">
        <w:rPr>
          <w:rFonts w:ascii="Arial" w:hAnsi="Arial" w:cs="Arial"/>
          <w:b/>
        </w:rPr>
        <w:t>7</w:t>
      </w:r>
      <w:r w:rsidR="006C3A04">
        <w:rPr>
          <w:rFonts w:ascii="Arial" w:hAnsi="Arial" w:cs="Arial"/>
          <w:b/>
        </w:rPr>
        <w:t>5% lower than men’s</w:t>
      </w:r>
      <w:r w:rsidR="006C3A04">
        <w:rPr>
          <w:rFonts w:ascii="Arial" w:hAnsi="Arial" w:cs="Arial"/>
          <w:b/>
        </w:rPr>
        <w:tab/>
      </w:r>
    </w:p>
    <w:p w14:paraId="06495376" w14:textId="08173247" w:rsidR="000E5718" w:rsidRPr="000E5718" w:rsidRDefault="000E5718" w:rsidP="000E5718">
      <w:pPr>
        <w:spacing w:line="264" w:lineRule="auto"/>
        <w:rPr>
          <w:rFonts w:ascii="Arial" w:hAnsi="Arial" w:cs="Arial"/>
          <w:b/>
          <w:color w:val="0070C0"/>
        </w:rPr>
      </w:pPr>
      <w:r>
        <w:rPr>
          <w:rFonts w:ascii="Arial" w:hAnsi="Arial" w:cs="Arial"/>
          <w:b/>
          <w:color w:val="0070C0"/>
        </w:rPr>
        <w:t xml:space="preserve">March 2018: </w:t>
      </w:r>
      <w:r w:rsidRPr="000E5718">
        <w:rPr>
          <w:rFonts w:ascii="Arial" w:hAnsi="Arial" w:cs="Arial"/>
          <w:b/>
          <w:color w:val="0070C0"/>
        </w:rPr>
        <w:t>Women’s mean hourly rate is 13.53% lower than men’s</w:t>
      </w:r>
      <w:r w:rsidRPr="000E5718">
        <w:rPr>
          <w:rFonts w:ascii="Arial" w:hAnsi="Arial" w:cs="Arial"/>
          <w:b/>
          <w:color w:val="0070C0"/>
        </w:rPr>
        <w:tab/>
      </w:r>
      <w:r w:rsidRPr="000E5718">
        <w:rPr>
          <w:rFonts w:ascii="Arial" w:hAnsi="Arial" w:cs="Arial"/>
          <w:b/>
          <w:color w:val="0070C0"/>
        </w:rPr>
        <w:tab/>
      </w:r>
      <w:r w:rsidRPr="000E5718">
        <w:rPr>
          <w:rFonts w:ascii="Arial" w:hAnsi="Arial" w:cs="Arial"/>
          <w:b/>
          <w:color w:val="0070C0"/>
        </w:rPr>
        <w:tab/>
      </w:r>
    </w:p>
    <w:p w14:paraId="2170DF09" w14:textId="7CF07474" w:rsidR="007230C8" w:rsidRPr="007230C8" w:rsidRDefault="000E5718" w:rsidP="00C37253">
      <w:pPr>
        <w:spacing w:line="264" w:lineRule="auto"/>
        <w:rPr>
          <w:rFonts w:ascii="Arial" w:hAnsi="Arial" w:cs="Arial"/>
          <w:color w:val="FF0000"/>
        </w:rPr>
      </w:pPr>
      <w:r>
        <w:rPr>
          <w:rFonts w:ascii="Arial" w:hAnsi="Arial" w:cs="Arial"/>
          <w:b/>
          <w:color w:val="FF0000"/>
        </w:rPr>
        <w:t xml:space="preserve">September 2018: </w:t>
      </w:r>
      <w:r w:rsidR="007230C8" w:rsidRPr="007230C8">
        <w:rPr>
          <w:rFonts w:ascii="Arial" w:hAnsi="Arial" w:cs="Arial"/>
          <w:b/>
          <w:color w:val="FF0000"/>
        </w:rPr>
        <w:t>Women’s mean hourly rate is 1</w:t>
      </w:r>
      <w:r w:rsidR="00133151">
        <w:rPr>
          <w:rFonts w:ascii="Arial" w:hAnsi="Arial" w:cs="Arial"/>
          <w:b/>
          <w:color w:val="FF0000"/>
        </w:rPr>
        <w:t>3</w:t>
      </w:r>
      <w:r w:rsidR="007230C8" w:rsidRPr="007230C8">
        <w:rPr>
          <w:rFonts w:ascii="Arial" w:hAnsi="Arial" w:cs="Arial"/>
          <w:b/>
          <w:color w:val="FF0000"/>
        </w:rPr>
        <w:t>% lower than men’s</w:t>
      </w:r>
      <w:r w:rsidR="007230C8" w:rsidRPr="007230C8">
        <w:rPr>
          <w:rFonts w:ascii="Arial" w:hAnsi="Arial" w:cs="Arial"/>
          <w:b/>
          <w:color w:val="FF0000"/>
        </w:rPr>
        <w:tab/>
      </w:r>
    </w:p>
    <w:p w14:paraId="4780342F" w14:textId="02BAB908" w:rsidR="006C3A04" w:rsidRPr="006C3A04" w:rsidRDefault="006C3A04" w:rsidP="00C37253">
      <w:pPr>
        <w:spacing w:line="264" w:lineRule="auto"/>
        <w:rPr>
          <w:rFonts w:ascii="Arial" w:hAnsi="Arial" w:cs="Arial"/>
          <w:b/>
        </w:rPr>
      </w:pPr>
      <w:r w:rsidRPr="006C3A04">
        <w:rPr>
          <w:rFonts w:ascii="Arial" w:hAnsi="Arial" w:cs="Arial"/>
        </w:rPr>
        <w:tab/>
      </w:r>
      <w:r w:rsidRPr="006C3A04">
        <w:rPr>
          <w:rFonts w:ascii="Arial" w:hAnsi="Arial" w:cs="Arial"/>
        </w:rPr>
        <w:tab/>
      </w:r>
      <w:r w:rsidRPr="006C3A04">
        <w:rPr>
          <w:rFonts w:ascii="Arial" w:hAnsi="Arial" w:cs="Arial"/>
        </w:rPr>
        <w:tab/>
      </w:r>
    </w:p>
    <w:p w14:paraId="351D02DC" w14:textId="7B61E6AF" w:rsidR="00133151" w:rsidRDefault="00133151" w:rsidP="00C37253">
      <w:pPr>
        <w:spacing w:line="264" w:lineRule="auto"/>
        <w:rPr>
          <w:rFonts w:ascii="Arial" w:hAnsi="Arial" w:cs="Arial"/>
          <w:b/>
        </w:rPr>
      </w:pPr>
    </w:p>
    <w:p w14:paraId="1C5EC576" w14:textId="2FB07BDB" w:rsidR="006C3A04" w:rsidRDefault="000E5718" w:rsidP="00C37253">
      <w:pPr>
        <w:spacing w:line="264" w:lineRule="auto"/>
        <w:rPr>
          <w:rFonts w:ascii="Arial" w:hAnsi="Arial" w:cs="Arial"/>
          <w:b/>
        </w:rPr>
      </w:pPr>
      <w:r>
        <w:rPr>
          <w:rFonts w:ascii="Arial" w:hAnsi="Arial" w:cs="Arial"/>
          <w:b/>
        </w:rPr>
        <w:lastRenderedPageBreak/>
        <w:t xml:space="preserve">March 2017: </w:t>
      </w:r>
      <w:r w:rsidR="006C3A04" w:rsidRPr="006C3A04">
        <w:rPr>
          <w:rFonts w:ascii="Arial" w:hAnsi="Arial" w:cs="Arial"/>
          <w:b/>
        </w:rPr>
        <w:t>Women’s median hourly rate is 27.96% lower than men’s</w:t>
      </w:r>
      <w:r w:rsidR="006C3A04" w:rsidRPr="006C3A04">
        <w:rPr>
          <w:rFonts w:ascii="Arial" w:hAnsi="Arial" w:cs="Arial"/>
          <w:b/>
        </w:rPr>
        <w:tab/>
      </w:r>
      <w:r w:rsidR="006C3A04" w:rsidRPr="006C3A04">
        <w:rPr>
          <w:rFonts w:ascii="Arial" w:hAnsi="Arial" w:cs="Arial"/>
          <w:b/>
        </w:rPr>
        <w:tab/>
      </w:r>
      <w:r w:rsidR="006C3A04">
        <w:rPr>
          <w:rFonts w:ascii="Arial" w:hAnsi="Arial" w:cs="Arial"/>
          <w:b/>
        </w:rPr>
        <w:tab/>
      </w:r>
      <w:r w:rsidR="006C3A04">
        <w:rPr>
          <w:rFonts w:ascii="Arial" w:hAnsi="Arial" w:cs="Arial"/>
          <w:b/>
        </w:rPr>
        <w:tab/>
      </w:r>
    </w:p>
    <w:p w14:paraId="2FD5ED16" w14:textId="3CF534F1" w:rsidR="000E5718" w:rsidRPr="000E5718" w:rsidRDefault="000E5718" w:rsidP="000E5718">
      <w:pPr>
        <w:spacing w:line="264" w:lineRule="auto"/>
        <w:rPr>
          <w:rFonts w:ascii="Arial" w:hAnsi="Arial" w:cs="Arial"/>
          <w:b/>
          <w:color w:val="0070C0"/>
        </w:rPr>
      </w:pPr>
      <w:r w:rsidRPr="000E5718">
        <w:rPr>
          <w:rFonts w:ascii="Arial" w:hAnsi="Arial" w:cs="Arial"/>
          <w:b/>
          <w:color w:val="0070C0"/>
        </w:rPr>
        <w:t>March 2018: Women’s median hourly rate is 25.86% lower than men’s</w:t>
      </w:r>
      <w:r w:rsidRPr="000E5718">
        <w:rPr>
          <w:rFonts w:ascii="Arial" w:hAnsi="Arial" w:cs="Arial"/>
          <w:b/>
          <w:color w:val="0070C0"/>
        </w:rPr>
        <w:tab/>
      </w:r>
      <w:r w:rsidRPr="000E5718">
        <w:rPr>
          <w:rFonts w:ascii="Arial" w:hAnsi="Arial" w:cs="Arial"/>
          <w:b/>
          <w:color w:val="0070C0"/>
        </w:rPr>
        <w:tab/>
      </w:r>
      <w:r w:rsidRPr="000E5718">
        <w:rPr>
          <w:rFonts w:ascii="Arial" w:hAnsi="Arial" w:cs="Arial"/>
          <w:b/>
          <w:color w:val="0070C0"/>
        </w:rPr>
        <w:tab/>
      </w:r>
      <w:r w:rsidRPr="000E5718">
        <w:rPr>
          <w:rFonts w:ascii="Arial" w:hAnsi="Arial" w:cs="Arial"/>
          <w:b/>
          <w:color w:val="0070C0"/>
        </w:rPr>
        <w:tab/>
      </w:r>
    </w:p>
    <w:p w14:paraId="6F181DBE" w14:textId="6DE0BA7A" w:rsidR="007230C8" w:rsidRPr="007230C8" w:rsidRDefault="00C633E0" w:rsidP="00C37253">
      <w:pPr>
        <w:spacing w:line="264" w:lineRule="auto"/>
        <w:rPr>
          <w:rFonts w:ascii="Arial" w:hAnsi="Arial" w:cs="Arial"/>
          <w:color w:val="FF0000"/>
        </w:rPr>
      </w:pPr>
      <w:r>
        <w:rPr>
          <w:rFonts w:ascii="Arial" w:hAnsi="Arial" w:cs="Arial"/>
          <w:b/>
          <w:color w:val="FF0000"/>
        </w:rPr>
        <w:t>September 2018</w:t>
      </w:r>
      <w:r w:rsidR="000E5718">
        <w:rPr>
          <w:rFonts w:ascii="Arial" w:hAnsi="Arial" w:cs="Arial"/>
          <w:b/>
          <w:color w:val="FF0000"/>
        </w:rPr>
        <w:t xml:space="preserve">: </w:t>
      </w:r>
      <w:r w:rsidR="007230C8" w:rsidRPr="007230C8">
        <w:rPr>
          <w:rFonts w:ascii="Arial" w:hAnsi="Arial" w:cs="Arial"/>
          <w:b/>
          <w:color w:val="FF0000"/>
        </w:rPr>
        <w:t>Wom</w:t>
      </w:r>
      <w:r w:rsidR="007230C8">
        <w:rPr>
          <w:rFonts w:ascii="Arial" w:hAnsi="Arial" w:cs="Arial"/>
          <w:b/>
          <w:color w:val="FF0000"/>
        </w:rPr>
        <w:t>en’s median hourly rate is 25.85</w:t>
      </w:r>
      <w:r w:rsidR="007230C8" w:rsidRPr="007230C8">
        <w:rPr>
          <w:rFonts w:ascii="Arial" w:hAnsi="Arial" w:cs="Arial"/>
          <w:b/>
          <w:color w:val="FF0000"/>
        </w:rPr>
        <w:t>% lower than men’s</w:t>
      </w:r>
      <w:r w:rsidR="007230C8" w:rsidRPr="007230C8">
        <w:rPr>
          <w:rFonts w:ascii="Arial" w:hAnsi="Arial" w:cs="Arial"/>
          <w:color w:val="FF0000"/>
        </w:rPr>
        <w:t xml:space="preserve"> </w:t>
      </w:r>
    </w:p>
    <w:p w14:paraId="30BA2671" w14:textId="25BEA431" w:rsidR="006C3A04" w:rsidRPr="006C3A04" w:rsidRDefault="006C3A04" w:rsidP="006C3A04">
      <w:pPr>
        <w:rPr>
          <w:rFonts w:ascii="Arial" w:hAnsi="Arial" w:cs="Arial"/>
          <w:b/>
        </w:rPr>
      </w:pP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p>
    <w:p w14:paraId="70619D2E" w14:textId="01E7576D" w:rsidR="006C3A04" w:rsidRDefault="006C3A04" w:rsidP="006C3A04">
      <w:pPr>
        <w:rPr>
          <w:rFonts w:ascii="Arial" w:hAnsi="Arial" w:cs="Arial"/>
          <w:b/>
          <w:sz w:val="28"/>
          <w:szCs w:val="28"/>
        </w:rPr>
      </w:pPr>
      <w:r w:rsidRPr="006C3A04">
        <w:rPr>
          <w:rFonts w:ascii="Arial" w:hAnsi="Arial" w:cs="Arial"/>
          <w:b/>
          <w:sz w:val="28"/>
          <w:szCs w:val="28"/>
        </w:rPr>
        <w:t>Proportion of</w:t>
      </w:r>
      <w:r>
        <w:rPr>
          <w:rFonts w:ascii="Arial" w:hAnsi="Arial" w:cs="Arial"/>
          <w:b/>
          <w:sz w:val="28"/>
          <w:szCs w:val="28"/>
        </w:rPr>
        <w:t xml:space="preserve"> women in each pay quartile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561118DB" w14:textId="49EAA789" w:rsidR="006C3A04" w:rsidRDefault="003B7923" w:rsidP="006C3A04">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27B2AF16" wp14:editId="65A562DD">
            <wp:simplePos x="0" y="0"/>
            <wp:positionH relativeFrom="column">
              <wp:posOffset>3800474</wp:posOffset>
            </wp:positionH>
            <wp:positionV relativeFrom="paragraph">
              <wp:posOffset>370840</wp:posOffset>
            </wp:positionV>
            <wp:extent cx="5379085" cy="362881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32" cy="3666961"/>
                    </a:xfrm>
                    <a:prstGeom prst="rect">
                      <a:avLst/>
                    </a:prstGeom>
                    <a:noFill/>
                  </pic:spPr>
                </pic:pic>
              </a:graphicData>
            </a:graphic>
            <wp14:sizeRelH relativeFrom="margin">
              <wp14:pctWidth>0</wp14:pctWidth>
            </wp14:sizeRelH>
            <wp14:sizeRelV relativeFrom="margin">
              <wp14:pctHeight>0</wp14:pctHeight>
            </wp14:sizeRelV>
          </wp:anchor>
        </w:drawing>
      </w:r>
      <w:r w:rsidR="006C3A04" w:rsidRPr="006C3A04">
        <w:rPr>
          <w:rFonts w:ascii="Arial" w:hAnsi="Arial" w:cs="Arial"/>
        </w:rPr>
        <w:t>Pay quartiles are calculated by splitting all employees in an organisation into four even groups according to their level of pay. Looking at the proportion of women in each quartile gives an indication of women's representation at different levels</w:t>
      </w:r>
      <w:r w:rsidR="006C3A04">
        <w:rPr>
          <w:rFonts w:ascii="Arial" w:hAnsi="Arial" w:cs="Arial"/>
        </w:rPr>
        <w:t xml:space="preserve"> of the organisation.</w:t>
      </w:r>
      <w:r w:rsidR="006C3A04" w:rsidRPr="006C3A04">
        <w:rPr>
          <w:rFonts w:ascii="Arial" w:hAnsi="Arial" w:cs="Arial"/>
        </w:rPr>
        <w:tab/>
      </w:r>
    </w:p>
    <w:p w14:paraId="68F35EE6" w14:textId="1A7F0355" w:rsidR="006C3A04" w:rsidRDefault="006C3A04" w:rsidP="006C3A04">
      <w:pPr>
        <w:rPr>
          <w:rFonts w:ascii="Arial" w:hAnsi="Arial" w:cs="Arial"/>
        </w:rPr>
      </w:pPr>
      <w:r w:rsidRPr="006C3A04">
        <w:rPr>
          <w:rFonts w:ascii="Arial" w:hAnsi="Arial" w:cs="Arial"/>
        </w:rPr>
        <w:t>Top q</w:t>
      </w:r>
      <w:r>
        <w:rPr>
          <w:rFonts w:ascii="Arial" w:hAnsi="Arial" w:cs="Arial"/>
        </w:rPr>
        <w:t>uartile (highest paid)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E36686" w14:textId="324382FF" w:rsidR="008C6F83" w:rsidRDefault="000E5718" w:rsidP="008C6F83">
      <w:pPr>
        <w:spacing w:after="0" w:line="240" w:lineRule="auto"/>
        <w:rPr>
          <w:rFonts w:ascii="Arial" w:hAnsi="Arial" w:cs="Arial"/>
          <w:b/>
        </w:rPr>
      </w:pPr>
      <w:r>
        <w:rPr>
          <w:rFonts w:ascii="Arial" w:hAnsi="Arial" w:cs="Arial"/>
          <w:b/>
        </w:rPr>
        <w:t xml:space="preserve">March 17: </w:t>
      </w:r>
      <w:r w:rsidR="006C3A04" w:rsidRPr="006C3A04">
        <w:rPr>
          <w:rFonts w:ascii="Arial" w:hAnsi="Arial" w:cs="Arial"/>
          <w:b/>
        </w:rPr>
        <w:t>46% of the top quartile are women</w:t>
      </w:r>
      <w:r w:rsidR="006C3A04" w:rsidRPr="006C3A04">
        <w:rPr>
          <w:rFonts w:ascii="Arial" w:hAnsi="Arial" w:cs="Arial"/>
          <w:b/>
        </w:rPr>
        <w:tab/>
      </w:r>
    </w:p>
    <w:p w14:paraId="1F5DAD03" w14:textId="630540E2" w:rsidR="008C6F83" w:rsidRDefault="000E5718" w:rsidP="003B7923">
      <w:pPr>
        <w:spacing w:after="0" w:line="240" w:lineRule="auto"/>
        <w:rPr>
          <w:rFonts w:ascii="Arial" w:hAnsi="Arial" w:cs="Arial"/>
          <w:b/>
        </w:rPr>
      </w:pPr>
      <w:r>
        <w:rPr>
          <w:rFonts w:ascii="Arial" w:hAnsi="Arial" w:cs="Arial"/>
          <w:b/>
          <w:color w:val="FF0000"/>
        </w:rPr>
        <w:t xml:space="preserve">March 18: </w:t>
      </w:r>
      <w:r w:rsidR="008C6F83">
        <w:rPr>
          <w:rFonts w:ascii="Arial" w:hAnsi="Arial" w:cs="Arial"/>
          <w:b/>
          <w:color w:val="FF0000"/>
        </w:rPr>
        <w:t>48</w:t>
      </w:r>
      <w:r w:rsidR="008C6F83" w:rsidRPr="00133151">
        <w:rPr>
          <w:rFonts w:ascii="Arial" w:hAnsi="Arial" w:cs="Arial"/>
          <w:b/>
          <w:color w:val="FF0000"/>
        </w:rPr>
        <w:t>% of the top quartile are women</w:t>
      </w:r>
      <w:r w:rsidR="003B7923">
        <w:rPr>
          <w:rFonts w:ascii="Arial" w:hAnsi="Arial" w:cs="Arial"/>
          <w:b/>
        </w:rPr>
        <w:tab/>
      </w:r>
      <w:r w:rsidR="003B7923">
        <w:rPr>
          <w:rFonts w:ascii="Arial" w:hAnsi="Arial" w:cs="Arial"/>
          <w:b/>
        </w:rPr>
        <w:tab/>
      </w:r>
      <w:r w:rsidR="003B7923">
        <w:rPr>
          <w:rFonts w:ascii="Arial" w:hAnsi="Arial" w:cs="Arial"/>
          <w:b/>
        </w:rPr>
        <w:tab/>
      </w:r>
      <w:r w:rsidR="003B7923">
        <w:rPr>
          <w:rFonts w:ascii="Arial" w:hAnsi="Arial" w:cs="Arial"/>
          <w:b/>
        </w:rPr>
        <w:tab/>
      </w:r>
      <w:r w:rsidR="003B7923">
        <w:rPr>
          <w:rFonts w:ascii="Arial" w:hAnsi="Arial" w:cs="Arial"/>
          <w:b/>
        </w:rPr>
        <w:tab/>
      </w:r>
      <w:r w:rsidR="003B7923">
        <w:rPr>
          <w:rFonts w:ascii="Arial" w:hAnsi="Arial" w:cs="Arial"/>
          <w:b/>
        </w:rPr>
        <w:tab/>
      </w:r>
      <w:r w:rsidR="003B7923">
        <w:rPr>
          <w:rFonts w:ascii="Arial" w:hAnsi="Arial" w:cs="Arial"/>
          <w:b/>
        </w:rPr>
        <w:tab/>
      </w:r>
    </w:p>
    <w:p w14:paraId="4ABCF2ED" w14:textId="002C0320" w:rsidR="003B7923" w:rsidRPr="003B7923" w:rsidRDefault="003B7923" w:rsidP="003B7923">
      <w:pPr>
        <w:spacing w:after="0" w:line="240" w:lineRule="auto"/>
        <w:rPr>
          <w:rFonts w:ascii="Arial" w:hAnsi="Arial" w:cs="Arial"/>
          <w:b/>
        </w:rPr>
      </w:pPr>
    </w:p>
    <w:p w14:paraId="3BE91485" w14:textId="2F985945" w:rsidR="006C3A04" w:rsidRPr="006C3A04" w:rsidRDefault="006C3A04" w:rsidP="006C3A04">
      <w:pPr>
        <w:rPr>
          <w:rFonts w:ascii="Arial" w:hAnsi="Arial" w:cs="Arial"/>
        </w:rPr>
      </w:pPr>
      <w:r w:rsidRPr="006C3A04">
        <w:rPr>
          <w:rFonts w:ascii="Arial" w:hAnsi="Arial" w:cs="Arial"/>
        </w:rPr>
        <w:t>Upper middle quartile</w:t>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p>
    <w:p w14:paraId="006D63E6" w14:textId="5B970C8B" w:rsidR="008C6F83" w:rsidRDefault="000E5718" w:rsidP="008C6F83">
      <w:pPr>
        <w:spacing w:after="0"/>
        <w:rPr>
          <w:rFonts w:ascii="Arial" w:hAnsi="Arial" w:cs="Arial"/>
          <w:b/>
        </w:rPr>
      </w:pPr>
      <w:r>
        <w:rPr>
          <w:rFonts w:ascii="Arial" w:hAnsi="Arial" w:cs="Arial"/>
          <w:b/>
        </w:rPr>
        <w:t xml:space="preserve">March 17: </w:t>
      </w:r>
      <w:r w:rsidR="006C3A04" w:rsidRPr="006C3A04">
        <w:rPr>
          <w:rFonts w:ascii="Arial" w:hAnsi="Arial" w:cs="Arial"/>
          <w:b/>
        </w:rPr>
        <w:t>50% of the upper</w:t>
      </w:r>
      <w:r w:rsidR="006C3A04">
        <w:rPr>
          <w:rFonts w:ascii="Arial" w:hAnsi="Arial" w:cs="Arial"/>
          <w:b/>
        </w:rPr>
        <w:t xml:space="preserve"> middle quartile are women</w:t>
      </w:r>
    </w:p>
    <w:p w14:paraId="375A4539" w14:textId="4CC926A8" w:rsidR="008C6F83" w:rsidRDefault="000E5718" w:rsidP="008C6F83">
      <w:pPr>
        <w:spacing w:after="0"/>
        <w:rPr>
          <w:rFonts w:ascii="Arial" w:hAnsi="Arial" w:cs="Arial"/>
          <w:b/>
        </w:rPr>
      </w:pPr>
      <w:r>
        <w:rPr>
          <w:rFonts w:ascii="Arial" w:hAnsi="Arial" w:cs="Arial"/>
          <w:b/>
          <w:color w:val="FF0000"/>
        </w:rPr>
        <w:t xml:space="preserve">March 18: </w:t>
      </w:r>
      <w:r w:rsidR="008C6F83">
        <w:rPr>
          <w:rFonts w:ascii="Arial" w:hAnsi="Arial" w:cs="Arial"/>
          <w:b/>
          <w:color w:val="FF0000"/>
        </w:rPr>
        <w:t>45</w:t>
      </w:r>
      <w:r w:rsidR="008C6F83" w:rsidRPr="00133151">
        <w:rPr>
          <w:rFonts w:ascii="Arial" w:hAnsi="Arial" w:cs="Arial"/>
          <w:b/>
          <w:color w:val="FF0000"/>
        </w:rPr>
        <w:t>% of the upper middle quartile are women</w:t>
      </w:r>
      <w:r w:rsidR="008C6F83">
        <w:rPr>
          <w:rFonts w:ascii="Arial" w:hAnsi="Arial" w:cs="Arial"/>
          <w:b/>
        </w:rPr>
        <w:tab/>
      </w:r>
      <w:r w:rsidR="008C6F83">
        <w:rPr>
          <w:rFonts w:ascii="Arial" w:hAnsi="Arial" w:cs="Arial"/>
          <w:b/>
        </w:rPr>
        <w:tab/>
      </w:r>
      <w:r w:rsidR="008C6F83">
        <w:rPr>
          <w:rFonts w:ascii="Arial" w:hAnsi="Arial" w:cs="Arial"/>
          <w:b/>
        </w:rPr>
        <w:tab/>
      </w:r>
      <w:r w:rsidR="008C6F83">
        <w:rPr>
          <w:rFonts w:ascii="Arial" w:hAnsi="Arial" w:cs="Arial"/>
          <w:b/>
        </w:rPr>
        <w:tab/>
      </w:r>
      <w:r w:rsidR="008C6F83">
        <w:rPr>
          <w:rFonts w:ascii="Arial" w:hAnsi="Arial" w:cs="Arial"/>
          <w:b/>
        </w:rPr>
        <w:tab/>
      </w:r>
    </w:p>
    <w:p w14:paraId="71428E13" w14:textId="2873E3B0" w:rsidR="008C6F83" w:rsidRPr="008C6F83" w:rsidRDefault="008C6F83" w:rsidP="008C6F83">
      <w:pPr>
        <w:spacing w:after="0"/>
        <w:rPr>
          <w:rFonts w:ascii="Arial" w:hAnsi="Arial" w:cs="Arial"/>
          <w:b/>
        </w:rPr>
      </w:pPr>
    </w:p>
    <w:p w14:paraId="5E1404D4" w14:textId="014F7906" w:rsidR="006C3A04" w:rsidRPr="006C3A04" w:rsidRDefault="006C3A04" w:rsidP="006C3A04">
      <w:pPr>
        <w:rPr>
          <w:rFonts w:ascii="Arial" w:hAnsi="Arial" w:cs="Arial"/>
        </w:rPr>
      </w:pPr>
      <w:r w:rsidRPr="006C3A04">
        <w:rPr>
          <w:rFonts w:ascii="Arial" w:hAnsi="Arial" w:cs="Arial"/>
        </w:rPr>
        <w:t>Lower middle quartile</w:t>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r w:rsidRPr="006C3A04">
        <w:rPr>
          <w:rFonts w:ascii="Arial" w:hAnsi="Arial" w:cs="Arial"/>
        </w:rPr>
        <w:tab/>
      </w:r>
    </w:p>
    <w:p w14:paraId="2E033038" w14:textId="14CEA529" w:rsidR="008C6F83" w:rsidRDefault="000E5718" w:rsidP="008C6F83">
      <w:pPr>
        <w:spacing w:after="0"/>
        <w:rPr>
          <w:rFonts w:ascii="Arial" w:hAnsi="Arial" w:cs="Arial"/>
          <w:b/>
        </w:rPr>
      </w:pPr>
      <w:r>
        <w:rPr>
          <w:rFonts w:ascii="Arial" w:hAnsi="Arial" w:cs="Arial"/>
          <w:b/>
        </w:rPr>
        <w:t xml:space="preserve">March 17: </w:t>
      </w:r>
      <w:r w:rsidR="006C3A04" w:rsidRPr="006C3A04">
        <w:rPr>
          <w:rFonts w:ascii="Arial" w:hAnsi="Arial" w:cs="Arial"/>
          <w:b/>
        </w:rPr>
        <w:t>66% of the lower middle quartile are women</w:t>
      </w:r>
    </w:p>
    <w:p w14:paraId="21F7C28F" w14:textId="56A2C672" w:rsidR="008C6F83" w:rsidRDefault="000E5718" w:rsidP="008C6F83">
      <w:pPr>
        <w:spacing w:after="0"/>
        <w:rPr>
          <w:rFonts w:ascii="Arial" w:hAnsi="Arial" w:cs="Arial"/>
          <w:b/>
        </w:rPr>
      </w:pPr>
      <w:r>
        <w:rPr>
          <w:rFonts w:ascii="Arial" w:hAnsi="Arial" w:cs="Arial"/>
          <w:b/>
          <w:color w:val="FF0000"/>
        </w:rPr>
        <w:t xml:space="preserve">March 18: </w:t>
      </w:r>
      <w:r w:rsidR="008C6F83">
        <w:rPr>
          <w:rFonts w:ascii="Arial" w:hAnsi="Arial" w:cs="Arial"/>
          <w:b/>
          <w:color w:val="FF0000"/>
        </w:rPr>
        <w:t>74</w:t>
      </w:r>
      <w:r w:rsidR="008C6F83" w:rsidRPr="00133151">
        <w:rPr>
          <w:rFonts w:ascii="Arial" w:hAnsi="Arial" w:cs="Arial"/>
          <w:b/>
          <w:color w:val="FF0000"/>
        </w:rPr>
        <w:t>% of the lower middle quartile are women</w:t>
      </w:r>
      <w:r w:rsidR="008C6F83">
        <w:rPr>
          <w:rFonts w:ascii="Arial" w:hAnsi="Arial" w:cs="Arial"/>
          <w:b/>
        </w:rPr>
        <w:tab/>
      </w:r>
      <w:r w:rsidR="008C6F83">
        <w:rPr>
          <w:rFonts w:ascii="Arial" w:hAnsi="Arial" w:cs="Arial"/>
          <w:b/>
        </w:rPr>
        <w:tab/>
      </w:r>
      <w:r w:rsidR="008C6F83">
        <w:rPr>
          <w:rFonts w:ascii="Arial" w:hAnsi="Arial" w:cs="Arial"/>
          <w:b/>
        </w:rPr>
        <w:tab/>
      </w:r>
      <w:r w:rsidR="008C6F83">
        <w:rPr>
          <w:rFonts w:ascii="Arial" w:hAnsi="Arial" w:cs="Arial"/>
          <w:b/>
        </w:rPr>
        <w:tab/>
      </w:r>
      <w:r w:rsidR="008C6F83">
        <w:rPr>
          <w:rFonts w:ascii="Arial" w:hAnsi="Arial" w:cs="Arial"/>
          <w:b/>
        </w:rPr>
        <w:tab/>
      </w:r>
      <w:r w:rsidR="008C6F83">
        <w:rPr>
          <w:rFonts w:ascii="Arial" w:hAnsi="Arial" w:cs="Arial"/>
          <w:b/>
        </w:rPr>
        <w:tab/>
      </w:r>
    </w:p>
    <w:p w14:paraId="7EA6F8F0" w14:textId="77777777" w:rsidR="008C6F83" w:rsidRPr="008C6F83" w:rsidRDefault="008C6F83" w:rsidP="008C6F83">
      <w:pPr>
        <w:spacing w:after="0"/>
        <w:rPr>
          <w:rFonts w:ascii="Arial" w:hAnsi="Arial" w:cs="Arial"/>
          <w:b/>
        </w:rPr>
      </w:pPr>
    </w:p>
    <w:p w14:paraId="3F7E73CF" w14:textId="77777777" w:rsidR="006C3A04" w:rsidRDefault="006C3A04" w:rsidP="006C3A04">
      <w:pPr>
        <w:rPr>
          <w:rFonts w:ascii="Arial" w:hAnsi="Arial" w:cs="Arial"/>
        </w:rPr>
      </w:pPr>
      <w:r w:rsidRPr="006C3A04">
        <w:rPr>
          <w:rFonts w:ascii="Arial" w:hAnsi="Arial" w:cs="Arial"/>
        </w:rPr>
        <w:t>Lower q</w:t>
      </w:r>
      <w:r>
        <w:rPr>
          <w:rFonts w:ascii="Arial" w:hAnsi="Arial" w:cs="Arial"/>
        </w:rPr>
        <w:t>uartile (lowest paid)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55BB6B" w14:textId="3DA3F83A" w:rsidR="008C6F83" w:rsidRDefault="000E5718" w:rsidP="008C6F83">
      <w:pPr>
        <w:spacing w:after="0"/>
        <w:rPr>
          <w:rFonts w:ascii="Arial" w:hAnsi="Arial" w:cs="Arial"/>
          <w:b/>
        </w:rPr>
      </w:pPr>
      <w:r>
        <w:rPr>
          <w:rFonts w:ascii="Arial" w:hAnsi="Arial" w:cs="Arial"/>
          <w:b/>
        </w:rPr>
        <w:t xml:space="preserve">March 17: </w:t>
      </w:r>
      <w:r w:rsidR="006C3A04" w:rsidRPr="006C3A04">
        <w:rPr>
          <w:rFonts w:ascii="Arial" w:hAnsi="Arial" w:cs="Arial"/>
          <w:b/>
        </w:rPr>
        <w:t>68% of the lower quartile are women</w:t>
      </w:r>
    </w:p>
    <w:p w14:paraId="712DB146" w14:textId="13EFF49B" w:rsidR="006C3A04" w:rsidRDefault="000E5718" w:rsidP="008C6F83">
      <w:pPr>
        <w:spacing w:after="0"/>
        <w:rPr>
          <w:rFonts w:ascii="Arial" w:hAnsi="Arial" w:cs="Arial"/>
          <w:b/>
        </w:rPr>
      </w:pPr>
      <w:r>
        <w:rPr>
          <w:rFonts w:ascii="Arial" w:hAnsi="Arial" w:cs="Arial"/>
          <w:b/>
          <w:color w:val="FF0000"/>
        </w:rPr>
        <w:t xml:space="preserve">March 18: </w:t>
      </w:r>
      <w:r w:rsidR="008C6F83">
        <w:rPr>
          <w:rFonts w:ascii="Arial" w:hAnsi="Arial" w:cs="Arial"/>
          <w:b/>
          <w:color w:val="FF0000"/>
        </w:rPr>
        <w:t>67</w:t>
      </w:r>
      <w:r w:rsidR="008C6F83" w:rsidRPr="00133151">
        <w:rPr>
          <w:rFonts w:ascii="Arial" w:hAnsi="Arial" w:cs="Arial"/>
          <w:b/>
          <w:color w:val="FF0000"/>
        </w:rPr>
        <w:t>% of the lower quartile are women</w:t>
      </w:r>
      <w:r w:rsidR="008C6F83" w:rsidRPr="00133151">
        <w:rPr>
          <w:rFonts w:ascii="Arial" w:hAnsi="Arial" w:cs="Arial"/>
          <w:b/>
          <w:color w:val="FF0000"/>
        </w:rPr>
        <w:tab/>
      </w:r>
      <w:r w:rsidR="006C3A04" w:rsidRPr="006C3A04">
        <w:rPr>
          <w:rFonts w:ascii="Arial" w:hAnsi="Arial" w:cs="Arial"/>
          <w:b/>
        </w:rPr>
        <w:tab/>
      </w:r>
      <w:r w:rsidR="006C3A04" w:rsidRPr="006C3A04">
        <w:rPr>
          <w:rFonts w:ascii="Arial" w:hAnsi="Arial" w:cs="Arial"/>
          <w:b/>
        </w:rPr>
        <w:tab/>
      </w:r>
      <w:r w:rsidR="006C3A04" w:rsidRPr="006C3A04">
        <w:rPr>
          <w:rFonts w:ascii="Arial" w:hAnsi="Arial" w:cs="Arial"/>
          <w:b/>
        </w:rPr>
        <w:tab/>
      </w:r>
      <w:r w:rsidR="006C3A04" w:rsidRPr="006C3A04">
        <w:rPr>
          <w:rFonts w:ascii="Arial" w:hAnsi="Arial" w:cs="Arial"/>
          <w:b/>
        </w:rPr>
        <w:tab/>
      </w:r>
      <w:r w:rsidR="006C3A04" w:rsidRPr="006C3A04">
        <w:rPr>
          <w:rFonts w:ascii="Arial" w:hAnsi="Arial" w:cs="Arial"/>
          <w:b/>
        </w:rPr>
        <w:tab/>
      </w:r>
      <w:r w:rsidR="006C3A04" w:rsidRPr="006C3A04">
        <w:rPr>
          <w:rFonts w:ascii="Arial" w:hAnsi="Arial" w:cs="Arial"/>
          <w:b/>
        </w:rPr>
        <w:tab/>
      </w:r>
      <w:r w:rsidR="006C3A04" w:rsidRPr="006C3A04">
        <w:rPr>
          <w:rFonts w:ascii="Arial" w:hAnsi="Arial" w:cs="Arial"/>
          <w:b/>
        </w:rPr>
        <w:tab/>
      </w:r>
    </w:p>
    <w:p w14:paraId="5CDDE819" w14:textId="77777777" w:rsidR="003B7923" w:rsidRDefault="003B7923" w:rsidP="003B7923">
      <w:pPr>
        <w:rPr>
          <w:rFonts w:ascii="Arial" w:hAnsi="Arial" w:cs="Arial"/>
          <w:b/>
          <w:sz w:val="28"/>
          <w:szCs w:val="28"/>
        </w:rPr>
      </w:pPr>
    </w:p>
    <w:p w14:paraId="00F6CBE9" w14:textId="151B8C31" w:rsidR="006C3A04" w:rsidRPr="003B7923" w:rsidRDefault="006C3A04" w:rsidP="003B7923">
      <w:pPr>
        <w:rPr>
          <w:rFonts w:ascii="Arial" w:hAnsi="Arial" w:cs="Arial"/>
          <w:color w:val="FF0000"/>
        </w:rPr>
      </w:pPr>
      <w:r w:rsidRPr="006C3A04">
        <w:rPr>
          <w:rFonts w:ascii="Arial" w:hAnsi="Arial" w:cs="Arial"/>
          <w:b/>
          <w:sz w:val="28"/>
          <w:szCs w:val="28"/>
        </w:rPr>
        <w:t>W</w:t>
      </w:r>
      <w:r>
        <w:rPr>
          <w:rFonts w:ascii="Arial" w:hAnsi="Arial" w:cs="Arial"/>
          <w:b/>
          <w:sz w:val="28"/>
          <w:szCs w:val="28"/>
        </w:rPr>
        <w:t>ho received bonus pay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6F95854" w14:textId="59793B08" w:rsidR="006C3A04" w:rsidRDefault="000E5718" w:rsidP="006C3A04">
      <w:pPr>
        <w:rPr>
          <w:rFonts w:ascii="Arial" w:hAnsi="Arial" w:cs="Arial"/>
        </w:rPr>
      </w:pPr>
      <w:r>
        <w:rPr>
          <w:rFonts w:ascii="Arial" w:hAnsi="Arial" w:cs="Arial"/>
        </w:rPr>
        <w:t>The LGA does not pay bonuses</w:t>
      </w:r>
      <w:r w:rsidR="006C3A04" w:rsidRPr="006C3A04">
        <w:rPr>
          <w:rFonts w:ascii="Arial" w:hAnsi="Arial" w:cs="Arial"/>
        </w:rPr>
        <w:t>.</w:t>
      </w:r>
      <w:r w:rsidR="006C3A04" w:rsidRPr="006C3A04">
        <w:rPr>
          <w:rFonts w:ascii="Arial" w:hAnsi="Arial" w:cs="Arial"/>
        </w:rPr>
        <w:tab/>
      </w:r>
    </w:p>
    <w:p w14:paraId="169A258A" w14:textId="58DFE7C0" w:rsidR="003B7923" w:rsidRPr="008C6F83" w:rsidRDefault="003B7923" w:rsidP="006C3A04">
      <w:pPr>
        <w:rPr>
          <w:rFonts w:ascii="Arial" w:hAnsi="Arial" w:cs="Arial"/>
        </w:rPr>
      </w:pPr>
    </w:p>
    <w:sectPr w:rsidR="003B7923" w:rsidRPr="008C6F83" w:rsidSect="000E5718">
      <w:pgSz w:w="16838" w:h="11906"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04"/>
    <w:rsid w:val="000250E5"/>
    <w:rsid w:val="000E5718"/>
    <w:rsid w:val="00133151"/>
    <w:rsid w:val="001B36CE"/>
    <w:rsid w:val="002234BD"/>
    <w:rsid w:val="002F3463"/>
    <w:rsid w:val="003B7923"/>
    <w:rsid w:val="003E2FE9"/>
    <w:rsid w:val="004F4F89"/>
    <w:rsid w:val="005628A9"/>
    <w:rsid w:val="00581C4C"/>
    <w:rsid w:val="00622AA1"/>
    <w:rsid w:val="006855F8"/>
    <w:rsid w:val="006926F6"/>
    <w:rsid w:val="006C3A04"/>
    <w:rsid w:val="006D202A"/>
    <w:rsid w:val="007230C8"/>
    <w:rsid w:val="00747264"/>
    <w:rsid w:val="00891AE9"/>
    <w:rsid w:val="008C6F83"/>
    <w:rsid w:val="00925392"/>
    <w:rsid w:val="00963CE9"/>
    <w:rsid w:val="00BF38D2"/>
    <w:rsid w:val="00C37253"/>
    <w:rsid w:val="00C633E0"/>
    <w:rsid w:val="00C6361E"/>
    <w:rsid w:val="00CF7513"/>
    <w:rsid w:val="00D425D7"/>
    <w:rsid w:val="00D45B4D"/>
    <w:rsid w:val="00DF5D7A"/>
    <w:rsid w:val="00E463D0"/>
    <w:rsid w:val="00F8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9C8D"/>
  <w15:chartTrackingRefBased/>
  <w15:docId w15:val="{B93BFF3E-E3B6-4A64-B7AF-1F74F39A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5145">
      <w:bodyDiv w:val="1"/>
      <w:marLeft w:val="0"/>
      <w:marRight w:val="0"/>
      <w:marTop w:val="0"/>
      <w:marBottom w:val="0"/>
      <w:divBdr>
        <w:top w:val="none" w:sz="0" w:space="0" w:color="auto"/>
        <w:left w:val="none" w:sz="0" w:space="0" w:color="auto"/>
        <w:bottom w:val="none" w:sz="0" w:space="0" w:color="auto"/>
        <w:right w:val="none" w:sz="0" w:space="0" w:color="auto"/>
      </w:divBdr>
    </w:div>
    <w:div w:id="18746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372E73E89BB45906B288466E1F620" ma:contentTypeVersion="0" ma:contentTypeDescription="Create a new document." ma:contentTypeScope="" ma:versionID="29698e3e74e2a354e75f0bd3c96f5cc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8BAAF-4AA3-48D0-8B66-92DCEDBE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1D13E8-5B46-440D-8646-E089474784D1}">
  <ds:schemaRefs>
    <ds:schemaRef ds:uri="http://schemas.microsoft.com/sharepoint/v3/contenttype/forms"/>
  </ds:schemaRefs>
</ds:datastoreItem>
</file>

<file path=customXml/itemProps3.xml><?xml version="1.0" encoding="utf-8"?>
<ds:datastoreItem xmlns:ds="http://schemas.openxmlformats.org/officeDocument/2006/customXml" ds:itemID="{DCEA5080-6825-4897-B3D8-B8B6B0D51608}">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6F38CEDF</Template>
  <TotalTime>0</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Greenfield</dc:creator>
  <cp:keywords/>
  <dc:description/>
  <cp:lastModifiedBy>Paul Goodchild</cp:lastModifiedBy>
  <cp:revision>2</cp:revision>
  <cp:lastPrinted>2019-01-10T16:26:00Z</cp:lastPrinted>
  <dcterms:created xsi:type="dcterms:W3CDTF">2019-05-29T15:51:00Z</dcterms:created>
  <dcterms:modified xsi:type="dcterms:W3CDTF">2019-05-29T15:51:00Z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0x01010076A372E73E89BB45906B288466E1F620</vt:lpwstr>
  </property>
</Properties>
</file>